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1C547" w14:textId="766135C2" w:rsidR="001B029E" w:rsidRDefault="008161E4" w:rsidP="00C41A59">
      <w:pPr>
        <w:jc w:val="center"/>
        <w:rPr>
          <w:rFonts w:cstheme="minorHAnsi"/>
        </w:rPr>
      </w:pPr>
      <w:r w:rsidRPr="00C41A59">
        <w:rPr>
          <w:rFonts w:cstheme="minorHAnsi"/>
        </w:rPr>
        <w:t>San Manuel Band of Mission Indians</w:t>
      </w:r>
      <w:r w:rsidR="00C41A59" w:rsidRPr="00C41A59">
        <w:rPr>
          <w:rFonts w:cstheme="minorHAnsi"/>
        </w:rPr>
        <w:t xml:space="preserve"> Endowed Chair</w:t>
      </w:r>
      <w:r w:rsidR="001B029E">
        <w:rPr>
          <w:rFonts w:cstheme="minorHAnsi"/>
        </w:rPr>
        <w:t xml:space="preserve"> </w:t>
      </w:r>
    </w:p>
    <w:p w14:paraId="259C2C63" w14:textId="0DDD59FC" w:rsidR="00EC300E" w:rsidRPr="00C41A59" w:rsidRDefault="001B029E" w:rsidP="00C41A59">
      <w:pPr>
        <w:jc w:val="center"/>
        <w:rPr>
          <w:rFonts w:cstheme="minorHAnsi"/>
        </w:rPr>
      </w:pPr>
      <w:r>
        <w:rPr>
          <w:rFonts w:cstheme="minorHAnsi"/>
        </w:rPr>
        <w:t>at the UNLV Harrah College of Hospitality</w:t>
      </w:r>
    </w:p>
    <w:p w14:paraId="51F58513" w14:textId="52FF1187" w:rsidR="00C41A59" w:rsidRPr="00C41A59" w:rsidRDefault="00C41A59" w:rsidP="00C41A59">
      <w:pPr>
        <w:rPr>
          <w:rFonts w:cstheme="minorHAnsi"/>
        </w:rPr>
      </w:pPr>
    </w:p>
    <w:p w14:paraId="5C84D266" w14:textId="701D5F8E" w:rsidR="00C41A59" w:rsidRPr="00C41A59" w:rsidRDefault="00C41A59" w:rsidP="00C41A59">
      <w:pPr>
        <w:rPr>
          <w:rFonts w:cstheme="minorHAnsi"/>
          <w:b/>
          <w:bCs/>
        </w:rPr>
      </w:pPr>
      <w:r w:rsidRPr="00C41A59">
        <w:rPr>
          <w:rFonts w:cstheme="minorHAnsi"/>
          <w:b/>
          <w:bCs/>
        </w:rPr>
        <w:t>Overall Goal of Gift to Harrah College of Hospitality</w:t>
      </w:r>
    </w:p>
    <w:p w14:paraId="7462AD1E" w14:textId="122B32E7" w:rsidR="003B1B36" w:rsidRPr="00824C9F" w:rsidRDefault="00A016F4" w:rsidP="00C41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18"/>
        <w:rPr>
          <w:rFonts w:eastAsia="Times New Roman" w:cstheme="minorHAnsi"/>
          <w:color w:val="000000"/>
          <w:highlight w:val="white"/>
        </w:rPr>
      </w:pPr>
      <w:r>
        <w:rPr>
          <w:rFonts w:cstheme="minorHAnsi"/>
        </w:rPr>
        <w:t>San Manuel Band of Mission Indians’</w:t>
      </w:r>
      <w:r w:rsidR="00C41A59" w:rsidRPr="00C41A59">
        <w:rPr>
          <w:rFonts w:cstheme="minorHAnsi"/>
        </w:rPr>
        <w:t xml:space="preserve"> </w:t>
      </w:r>
      <w:r>
        <w:rPr>
          <w:rFonts w:cstheme="minorHAnsi"/>
        </w:rPr>
        <w:t>philanthropic</w:t>
      </w:r>
      <w:r w:rsidR="00C41A59" w:rsidRPr="00C41A59">
        <w:rPr>
          <w:rFonts w:cstheme="minorHAnsi"/>
        </w:rPr>
        <w:t xml:space="preserve"> gift to the William F. Harrah College of Hospitality </w:t>
      </w:r>
      <w:r>
        <w:rPr>
          <w:rFonts w:cstheme="minorHAnsi"/>
        </w:rPr>
        <w:t>inspired the</w:t>
      </w:r>
      <w:r w:rsidR="00C41A59" w:rsidRPr="00C41A59">
        <w:rPr>
          <w:rFonts w:cstheme="minorHAnsi"/>
        </w:rPr>
        <w:t xml:space="preserve"> develop</w:t>
      </w:r>
      <w:r>
        <w:rPr>
          <w:rFonts w:cstheme="minorHAnsi"/>
        </w:rPr>
        <w:t>ment</w:t>
      </w:r>
      <w:r w:rsidR="00C41A59" w:rsidRPr="00C41A59">
        <w:rPr>
          <w:rFonts w:cstheme="minorHAnsi"/>
        </w:rPr>
        <w:t xml:space="preserve"> </w:t>
      </w:r>
      <w:r>
        <w:rPr>
          <w:rFonts w:cstheme="minorHAnsi"/>
        </w:rPr>
        <w:t>of a</w:t>
      </w:r>
      <w:r w:rsidR="00C41A59" w:rsidRPr="00C41A59">
        <w:rPr>
          <w:rFonts w:cstheme="minorHAnsi"/>
        </w:rPr>
        <w:t xml:space="preserve"> </w:t>
      </w:r>
      <w:r w:rsidR="00C41A59" w:rsidRPr="00C41A59">
        <w:rPr>
          <w:rFonts w:eastAsia="Times New Roman" w:cstheme="minorHAnsi"/>
          <w:color w:val="000000"/>
          <w:highlight w:val="white"/>
        </w:rPr>
        <w:t xml:space="preserve">comprehensive </w:t>
      </w:r>
      <w:r w:rsidR="00C41A59" w:rsidRPr="00C41A59">
        <w:rPr>
          <w:rFonts w:eastAsia="Times New Roman" w:cstheme="minorHAnsi"/>
          <w:color w:val="000000"/>
        </w:rPr>
        <w:t>educational</w:t>
      </w:r>
      <w:r w:rsidR="00C41A59" w:rsidRPr="00C41A59">
        <w:rPr>
          <w:rFonts w:eastAsia="Times New Roman" w:cstheme="minorHAnsi"/>
          <w:color w:val="000000"/>
          <w:highlight w:val="white"/>
        </w:rPr>
        <w:t xml:space="preserve"> program </w:t>
      </w:r>
      <w:r>
        <w:rPr>
          <w:rFonts w:eastAsia="Times New Roman" w:cstheme="minorHAnsi"/>
          <w:color w:val="000000"/>
          <w:highlight w:val="white"/>
        </w:rPr>
        <w:t>in</w:t>
      </w:r>
      <w:r w:rsidR="00C41A59" w:rsidRPr="00C41A59">
        <w:rPr>
          <w:rFonts w:eastAsia="Times New Roman" w:cstheme="minorHAnsi"/>
          <w:color w:val="000000"/>
          <w:highlight w:val="white"/>
        </w:rPr>
        <w:t xml:space="preserve"> Tribal Gaming</w:t>
      </w:r>
      <w:r>
        <w:rPr>
          <w:rFonts w:eastAsia="Times New Roman" w:cstheme="minorHAnsi"/>
          <w:color w:val="000000"/>
          <w:highlight w:val="white"/>
        </w:rPr>
        <w:t xml:space="preserve"> at UNLV</w:t>
      </w:r>
      <w:r w:rsidR="00C41A59">
        <w:rPr>
          <w:rFonts w:eastAsia="Times New Roman" w:cstheme="minorHAnsi"/>
          <w:color w:val="000000"/>
          <w:highlight w:val="white"/>
        </w:rPr>
        <w:t xml:space="preserve">. </w:t>
      </w:r>
      <w:r>
        <w:rPr>
          <w:rFonts w:eastAsia="Times New Roman" w:cstheme="minorHAnsi"/>
          <w:color w:val="000000"/>
          <w:highlight w:val="white"/>
        </w:rPr>
        <w:t>The program, which aims to cultivate experts in this unique and growing field, will</w:t>
      </w:r>
      <w:r w:rsidR="00C41A59">
        <w:rPr>
          <w:rFonts w:eastAsia="Times New Roman" w:cstheme="minorHAnsi"/>
          <w:color w:val="000000"/>
          <w:highlight w:val="white"/>
        </w:rPr>
        <w:t xml:space="preserve"> </w:t>
      </w:r>
      <w:r w:rsidR="00D20FBB">
        <w:rPr>
          <w:rFonts w:eastAsia="Times New Roman" w:cstheme="minorHAnsi"/>
          <w:color w:val="000000"/>
          <w:highlight w:val="white"/>
        </w:rPr>
        <w:t>include</w:t>
      </w:r>
      <w:r>
        <w:rPr>
          <w:rFonts w:eastAsia="Times New Roman" w:cstheme="minorHAnsi"/>
          <w:color w:val="000000"/>
          <w:highlight w:val="white"/>
        </w:rPr>
        <w:t xml:space="preserve"> –</w:t>
      </w:r>
      <w:r w:rsidR="00D20FBB">
        <w:rPr>
          <w:rFonts w:eastAsia="Times New Roman" w:cstheme="minorHAnsi"/>
          <w:color w:val="000000"/>
          <w:highlight w:val="white"/>
        </w:rPr>
        <w:t xml:space="preserve"> but</w:t>
      </w:r>
      <w:r w:rsidR="00C41A59">
        <w:rPr>
          <w:rFonts w:eastAsia="Times New Roman" w:cstheme="minorHAnsi"/>
          <w:color w:val="000000"/>
          <w:highlight w:val="white"/>
        </w:rPr>
        <w:t xml:space="preserve"> </w:t>
      </w:r>
      <w:r>
        <w:rPr>
          <w:rFonts w:eastAsia="Times New Roman" w:cstheme="minorHAnsi"/>
          <w:color w:val="000000"/>
          <w:highlight w:val="white"/>
        </w:rPr>
        <w:t>is</w:t>
      </w:r>
      <w:r w:rsidR="00C41A59">
        <w:rPr>
          <w:rFonts w:eastAsia="Times New Roman" w:cstheme="minorHAnsi"/>
          <w:color w:val="000000"/>
          <w:highlight w:val="white"/>
        </w:rPr>
        <w:t xml:space="preserve"> not limited to</w:t>
      </w:r>
      <w:r>
        <w:rPr>
          <w:rFonts w:eastAsia="Times New Roman" w:cstheme="minorHAnsi"/>
          <w:color w:val="000000"/>
          <w:highlight w:val="white"/>
        </w:rPr>
        <w:t xml:space="preserve"> – </w:t>
      </w:r>
      <w:r w:rsidR="00C41A59">
        <w:rPr>
          <w:rFonts w:eastAsia="Times New Roman" w:cstheme="minorHAnsi"/>
          <w:color w:val="000000"/>
          <w:highlight w:val="white"/>
        </w:rPr>
        <w:t>courses in gaming operations</w:t>
      </w:r>
      <w:r w:rsidR="00D20FBB">
        <w:rPr>
          <w:rFonts w:eastAsia="Times New Roman" w:cstheme="minorHAnsi"/>
          <w:color w:val="000000"/>
          <w:highlight w:val="white"/>
        </w:rPr>
        <w:t xml:space="preserve"> and management</w:t>
      </w:r>
      <w:r w:rsidR="00C41A59">
        <w:rPr>
          <w:rFonts w:eastAsia="Times New Roman" w:cstheme="minorHAnsi"/>
          <w:color w:val="000000"/>
          <w:highlight w:val="white"/>
        </w:rPr>
        <w:t>, hospitality operations</w:t>
      </w:r>
      <w:r w:rsidR="00D20FBB">
        <w:rPr>
          <w:rFonts w:eastAsia="Times New Roman" w:cstheme="minorHAnsi"/>
          <w:color w:val="000000"/>
          <w:highlight w:val="white"/>
        </w:rPr>
        <w:t xml:space="preserve"> and management</w:t>
      </w:r>
      <w:r w:rsidR="00C41A59">
        <w:rPr>
          <w:rFonts w:eastAsia="Times New Roman" w:cstheme="minorHAnsi"/>
          <w:color w:val="000000"/>
          <w:highlight w:val="white"/>
        </w:rPr>
        <w:t xml:space="preserve">, </w:t>
      </w:r>
      <w:r w:rsidR="00D20FBB">
        <w:rPr>
          <w:rFonts w:eastAsia="Times New Roman" w:cstheme="minorHAnsi"/>
          <w:color w:val="000000"/>
          <w:highlight w:val="white"/>
        </w:rPr>
        <w:t xml:space="preserve">Native American </w:t>
      </w:r>
      <w:r>
        <w:rPr>
          <w:rFonts w:eastAsia="Times New Roman" w:cstheme="minorHAnsi"/>
          <w:color w:val="000000"/>
          <w:highlight w:val="white"/>
        </w:rPr>
        <w:t>h</w:t>
      </w:r>
      <w:r w:rsidR="00D20FBB">
        <w:rPr>
          <w:rFonts w:eastAsia="Times New Roman" w:cstheme="minorHAnsi"/>
          <w:color w:val="000000"/>
          <w:highlight w:val="white"/>
        </w:rPr>
        <w:t>istory</w:t>
      </w:r>
      <w:r w:rsidR="00DB6B30">
        <w:rPr>
          <w:rFonts w:eastAsia="Times New Roman" w:cstheme="minorHAnsi"/>
          <w:color w:val="000000"/>
          <w:highlight w:val="white"/>
        </w:rPr>
        <w:t xml:space="preserve">, and Native American </w:t>
      </w:r>
      <w:r>
        <w:rPr>
          <w:rFonts w:eastAsia="Times New Roman" w:cstheme="minorHAnsi"/>
          <w:color w:val="000000"/>
          <w:highlight w:val="white"/>
        </w:rPr>
        <w:t>c</w:t>
      </w:r>
      <w:r w:rsidR="00D20FBB">
        <w:rPr>
          <w:rFonts w:eastAsia="Times New Roman" w:cstheme="minorHAnsi"/>
          <w:color w:val="000000"/>
          <w:highlight w:val="white"/>
        </w:rPr>
        <w:t xml:space="preserve">ulture.  </w:t>
      </w:r>
      <w:r w:rsidR="00824C9F">
        <w:rPr>
          <w:rFonts w:eastAsia="Times New Roman" w:cstheme="minorHAnsi"/>
          <w:color w:val="000000"/>
          <w:highlight w:val="white"/>
        </w:rPr>
        <w:t xml:space="preserve">Courses will be taught by experts within the given topic </w:t>
      </w:r>
      <w:r w:rsidR="000055D9">
        <w:rPr>
          <w:rFonts w:eastAsia="Times New Roman" w:cstheme="minorHAnsi"/>
          <w:color w:val="000000"/>
          <w:highlight w:val="white"/>
        </w:rPr>
        <w:t xml:space="preserve">area </w:t>
      </w:r>
      <w:r w:rsidR="00824C9F">
        <w:rPr>
          <w:rFonts w:eastAsia="Times New Roman" w:cstheme="minorHAnsi"/>
          <w:color w:val="000000"/>
          <w:highlight w:val="white"/>
        </w:rPr>
        <w:t xml:space="preserve">and may include experts from outside the College of Hospitality.  </w:t>
      </w:r>
      <w:r w:rsidR="00D20FBB">
        <w:rPr>
          <w:rFonts w:eastAsia="Times New Roman" w:cstheme="minorHAnsi"/>
          <w:color w:val="000000"/>
          <w:highlight w:val="white"/>
        </w:rPr>
        <w:t xml:space="preserve">The term </w:t>
      </w:r>
      <w:r w:rsidR="00D20FBB" w:rsidRPr="00D20FBB">
        <w:rPr>
          <w:rFonts w:eastAsia="Times New Roman" w:cstheme="minorHAnsi"/>
          <w:i/>
          <w:iCs/>
          <w:color w:val="000000"/>
          <w:highlight w:val="white"/>
        </w:rPr>
        <w:t>course</w:t>
      </w:r>
      <w:r w:rsidR="00D20FBB">
        <w:rPr>
          <w:rFonts w:eastAsia="Times New Roman" w:cstheme="minorHAnsi"/>
          <w:color w:val="000000"/>
          <w:highlight w:val="white"/>
        </w:rPr>
        <w:t xml:space="preserve"> refer</w:t>
      </w:r>
      <w:r>
        <w:rPr>
          <w:rFonts w:eastAsia="Times New Roman" w:cstheme="minorHAnsi"/>
          <w:color w:val="000000"/>
          <w:highlight w:val="white"/>
        </w:rPr>
        <w:t>s</w:t>
      </w:r>
      <w:r w:rsidR="00D20FBB">
        <w:rPr>
          <w:rFonts w:eastAsia="Times New Roman" w:cstheme="minorHAnsi"/>
          <w:color w:val="000000"/>
          <w:highlight w:val="white"/>
        </w:rPr>
        <w:t xml:space="preserve"> to </w:t>
      </w:r>
      <w:r>
        <w:rPr>
          <w:rFonts w:eastAsia="Times New Roman" w:cstheme="minorHAnsi"/>
          <w:color w:val="000000"/>
          <w:highlight w:val="white"/>
        </w:rPr>
        <w:t xml:space="preserve">both </w:t>
      </w:r>
      <w:r w:rsidR="00D20FBB">
        <w:rPr>
          <w:rFonts w:eastAsia="Times New Roman" w:cstheme="minorHAnsi"/>
          <w:color w:val="000000"/>
          <w:highlight w:val="white"/>
        </w:rPr>
        <w:t>traditional credit</w:t>
      </w:r>
      <w:r>
        <w:rPr>
          <w:rFonts w:eastAsia="Times New Roman" w:cstheme="minorHAnsi"/>
          <w:color w:val="000000"/>
          <w:highlight w:val="white"/>
        </w:rPr>
        <w:t>-</w:t>
      </w:r>
      <w:r w:rsidR="00D20FBB">
        <w:rPr>
          <w:rFonts w:eastAsia="Times New Roman" w:cstheme="minorHAnsi"/>
          <w:color w:val="000000"/>
          <w:highlight w:val="white"/>
        </w:rPr>
        <w:t xml:space="preserve">bearing classes that can be applied to a college degree and noncredit based classes that can be stacked to earn a certificate in a specific subject.  These courses will be designed </w:t>
      </w:r>
      <w:r w:rsidR="00C41A59" w:rsidRPr="00C41A59">
        <w:rPr>
          <w:rFonts w:eastAsia="Times New Roman" w:cstheme="minorHAnsi"/>
          <w:color w:val="000000"/>
          <w:highlight w:val="white"/>
        </w:rPr>
        <w:t xml:space="preserve">for </w:t>
      </w:r>
      <w:r>
        <w:rPr>
          <w:rFonts w:eastAsia="Times New Roman" w:cstheme="minorHAnsi"/>
          <w:color w:val="000000"/>
        </w:rPr>
        <w:t>t</w:t>
      </w:r>
      <w:r w:rsidR="00C41A59" w:rsidRPr="00C41A59">
        <w:rPr>
          <w:rFonts w:eastAsia="Times New Roman" w:cstheme="minorHAnsi"/>
          <w:color w:val="000000"/>
          <w:highlight w:val="white"/>
        </w:rPr>
        <w:t xml:space="preserve">ribal </w:t>
      </w:r>
      <w:r>
        <w:rPr>
          <w:rFonts w:eastAsia="Times New Roman" w:cstheme="minorHAnsi"/>
          <w:color w:val="000000"/>
        </w:rPr>
        <w:t>c</w:t>
      </w:r>
      <w:r w:rsidR="00D20FBB">
        <w:rPr>
          <w:rFonts w:eastAsia="Times New Roman" w:cstheme="minorHAnsi"/>
          <w:color w:val="000000"/>
        </w:rPr>
        <w:t xml:space="preserve">ommunity </w:t>
      </w:r>
      <w:r>
        <w:rPr>
          <w:rFonts w:eastAsia="Times New Roman" w:cstheme="minorHAnsi"/>
          <w:color w:val="000000"/>
        </w:rPr>
        <w:t>m</w:t>
      </w:r>
      <w:r w:rsidR="00D20FBB">
        <w:rPr>
          <w:rFonts w:eastAsia="Times New Roman" w:cstheme="minorHAnsi"/>
          <w:color w:val="000000"/>
        </w:rPr>
        <w:t>embers</w:t>
      </w:r>
      <w:r w:rsidR="00C41A59" w:rsidRPr="00C41A59">
        <w:rPr>
          <w:rFonts w:eastAsia="Times New Roman" w:cstheme="minorHAnsi"/>
          <w:color w:val="000000"/>
          <w:highlight w:val="white"/>
        </w:rPr>
        <w:t xml:space="preserve">, </w:t>
      </w:r>
      <w:r>
        <w:rPr>
          <w:rFonts w:eastAsia="Times New Roman" w:cstheme="minorHAnsi"/>
          <w:color w:val="000000"/>
          <w:highlight w:val="white"/>
        </w:rPr>
        <w:t>t</w:t>
      </w:r>
      <w:r w:rsidR="00D20FBB">
        <w:rPr>
          <w:rFonts w:eastAsia="Times New Roman" w:cstheme="minorHAnsi"/>
          <w:color w:val="000000"/>
          <w:highlight w:val="white"/>
        </w:rPr>
        <w:t xml:space="preserve">ribal </w:t>
      </w:r>
      <w:r>
        <w:rPr>
          <w:rFonts w:eastAsia="Times New Roman" w:cstheme="minorHAnsi"/>
          <w:color w:val="000000"/>
          <w:highlight w:val="white"/>
        </w:rPr>
        <w:t>c</w:t>
      </w:r>
      <w:r w:rsidR="00D20FBB">
        <w:rPr>
          <w:rFonts w:eastAsia="Times New Roman" w:cstheme="minorHAnsi"/>
          <w:color w:val="000000"/>
          <w:highlight w:val="white"/>
        </w:rPr>
        <w:t>olleges</w:t>
      </w:r>
      <w:r w:rsidR="00C41A59" w:rsidRPr="00C41A59">
        <w:rPr>
          <w:rFonts w:eastAsia="Times New Roman" w:cstheme="minorHAnsi"/>
          <w:highlight w:val="white"/>
        </w:rPr>
        <w:t>,</w:t>
      </w:r>
      <w:r w:rsidR="00D20FBB">
        <w:rPr>
          <w:rFonts w:eastAsia="Times New Roman" w:cstheme="minorHAnsi"/>
          <w:highlight w:val="white"/>
        </w:rPr>
        <w:t xml:space="preserve"> </w:t>
      </w:r>
      <w:r>
        <w:rPr>
          <w:rFonts w:eastAsia="Times New Roman" w:cstheme="minorHAnsi"/>
          <w:highlight w:val="white"/>
        </w:rPr>
        <w:t>c</w:t>
      </w:r>
      <w:r w:rsidR="00D20FBB">
        <w:rPr>
          <w:rFonts w:eastAsia="Times New Roman" w:cstheme="minorHAnsi"/>
          <w:highlight w:val="white"/>
        </w:rPr>
        <w:t xml:space="preserve">ommunity </w:t>
      </w:r>
      <w:r>
        <w:rPr>
          <w:rFonts w:eastAsia="Times New Roman" w:cstheme="minorHAnsi"/>
          <w:highlight w:val="white"/>
        </w:rPr>
        <w:t>c</w:t>
      </w:r>
      <w:r w:rsidR="00D20FBB">
        <w:rPr>
          <w:rFonts w:eastAsia="Times New Roman" w:cstheme="minorHAnsi"/>
          <w:highlight w:val="white"/>
        </w:rPr>
        <w:t>olleges</w:t>
      </w:r>
      <w:r w:rsidR="003B1B36">
        <w:rPr>
          <w:rFonts w:eastAsia="Times New Roman" w:cstheme="minorHAnsi"/>
          <w:highlight w:val="white"/>
        </w:rPr>
        <w:t xml:space="preserve">, </w:t>
      </w:r>
      <w:r>
        <w:rPr>
          <w:rFonts w:eastAsia="Times New Roman" w:cstheme="minorHAnsi"/>
          <w:highlight w:val="white"/>
        </w:rPr>
        <w:t>f</w:t>
      </w:r>
      <w:r w:rsidR="00C41A59" w:rsidRPr="00C41A59">
        <w:rPr>
          <w:rFonts w:eastAsia="Times New Roman" w:cstheme="minorHAnsi"/>
          <w:highlight w:val="white"/>
        </w:rPr>
        <w:t xml:space="preserve">our-year </w:t>
      </w:r>
      <w:r>
        <w:rPr>
          <w:rFonts w:eastAsia="Times New Roman" w:cstheme="minorHAnsi"/>
          <w:highlight w:val="white"/>
        </w:rPr>
        <w:t>u</w:t>
      </w:r>
      <w:r w:rsidR="003B1B36">
        <w:rPr>
          <w:rFonts w:eastAsia="Times New Roman" w:cstheme="minorHAnsi"/>
          <w:highlight w:val="white"/>
        </w:rPr>
        <w:t>niversities,</w:t>
      </w:r>
      <w:r w:rsidR="003B1B36">
        <w:rPr>
          <w:rFonts w:eastAsia="Times New Roman" w:cstheme="minorHAnsi"/>
        </w:rPr>
        <w:t xml:space="preserve"> </w:t>
      </w:r>
      <w:r w:rsidR="003B1B36">
        <w:rPr>
          <w:rFonts w:eastAsia="Times New Roman" w:cstheme="minorHAnsi"/>
          <w:color w:val="000000"/>
        </w:rPr>
        <w:t>a</w:t>
      </w:r>
      <w:r w:rsidR="003B1B36">
        <w:rPr>
          <w:rFonts w:eastAsia="Times New Roman" w:cstheme="minorHAnsi"/>
          <w:highlight w:val="white"/>
        </w:rPr>
        <w:t>ny individual with an interest working with</w:t>
      </w:r>
      <w:r w:rsidR="00C41A59" w:rsidRPr="00C41A59">
        <w:rPr>
          <w:rFonts w:eastAsia="Times New Roman" w:cstheme="minorHAnsi"/>
          <w:highlight w:val="white"/>
        </w:rPr>
        <w:t xml:space="preserve"> </w:t>
      </w:r>
      <w:r>
        <w:rPr>
          <w:rFonts w:eastAsia="Times New Roman" w:cstheme="minorHAnsi"/>
          <w:highlight w:val="white"/>
        </w:rPr>
        <w:t>t</w:t>
      </w:r>
      <w:r w:rsidR="003B1B36">
        <w:rPr>
          <w:rFonts w:eastAsia="Times New Roman" w:cstheme="minorHAnsi"/>
          <w:highlight w:val="white"/>
        </w:rPr>
        <w:t xml:space="preserve">ribal </w:t>
      </w:r>
      <w:r>
        <w:rPr>
          <w:rFonts w:eastAsia="Times New Roman" w:cstheme="minorHAnsi"/>
          <w:highlight w:val="white"/>
        </w:rPr>
        <w:t>g</w:t>
      </w:r>
      <w:r w:rsidR="003B1B36">
        <w:rPr>
          <w:rFonts w:eastAsia="Times New Roman" w:cstheme="minorHAnsi"/>
          <w:highlight w:val="white"/>
        </w:rPr>
        <w:t xml:space="preserve">aming </w:t>
      </w:r>
      <w:r>
        <w:rPr>
          <w:rFonts w:eastAsia="Times New Roman" w:cstheme="minorHAnsi"/>
          <w:highlight w:val="white"/>
        </w:rPr>
        <w:t>o</w:t>
      </w:r>
      <w:r w:rsidR="003B1B36">
        <w:rPr>
          <w:rFonts w:eastAsia="Times New Roman" w:cstheme="minorHAnsi"/>
          <w:highlight w:val="white"/>
        </w:rPr>
        <w:t xml:space="preserve">rganizations, and those currently involved in </w:t>
      </w:r>
      <w:r>
        <w:rPr>
          <w:rFonts w:eastAsia="Times New Roman" w:cstheme="minorHAnsi"/>
          <w:highlight w:val="white"/>
        </w:rPr>
        <w:t>t</w:t>
      </w:r>
      <w:r w:rsidR="003B1B36">
        <w:rPr>
          <w:rFonts w:eastAsia="Times New Roman" w:cstheme="minorHAnsi"/>
          <w:highlight w:val="white"/>
        </w:rPr>
        <w:t xml:space="preserve">ribal </w:t>
      </w:r>
      <w:r>
        <w:rPr>
          <w:rFonts w:eastAsia="Times New Roman" w:cstheme="minorHAnsi"/>
          <w:highlight w:val="white"/>
        </w:rPr>
        <w:t>g</w:t>
      </w:r>
      <w:r w:rsidR="003B1B36">
        <w:rPr>
          <w:rFonts w:eastAsia="Times New Roman" w:cstheme="minorHAnsi"/>
          <w:highlight w:val="white"/>
        </w:rPr>
        <w:t xml:space="preserve">aming who wish to improve their knowledge </w:t>
      </w:r>
      <w:r>
        <w:rPr>
          <w:rFonts w:eastAsia="Times New Roman" w:cstheme="minorHAnsi"/>
          <w:highlight w:val="white"/>
        </w:rPr>
        <w:t>to</w:t>
      </w:r>
      <w:r w:rsidR="003B1B36">
        <w:rPr>
          <w:rFonts w:eastAsia="Times New Roman" w:cstheme="minorHAnsi"/>
          <w:highlight w:val="white"/>
        </w:rPr>
        <w:t xml:space="preserve"> advance within their organizations.</w:t>
      </w:r>
    </w:p>
    <w:p w14:paraId="51D7BD45" w14:textId="6F5D967A" w:rsidR="00C41A59" w:rsidRPr="003B1B36" w:rsidRDefault="00C41A59" w:rsidP="00C41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18"/>
        <w:rPr>
          <w:rFonts w:eastAsia="Times New Roman" w:cstheme="minorHAnsi"/>
          <w:color w:val="000000"/>
        </w:rPr>
      </w:pPr>
      <w:r w:rsidRPr="00C41A59">
        <w:rPr>
          <w:rFonts w:eastAsia="Times New Roman" w:cstheme="minorHAnsi"/>
          <w:highlight w:val="white"/>
        </w:rPr>
        <w:t xml:space="preserve">  </w:t>
      </w:r>
    </w:p>
    <w:p w14:paraId="54695402" w14:textId="173E3671" w:rsidR="00B650F2" w:rsidRDefault="0005213D" w:rsidP="00C41A59">
      <w:pPr>
        <w:rPr>
          <w:rFonts w:eastAsia="Times New Roman" w:cstheme="minorHAnsi"/>
        </w:rPr>
      </w:pPr>
      <w:r>
        <w:rPr>
          <w:rFonts w:eastAsia="Times New Roman" w:cstheme="minorHAnsi"/>
        </w:rPr>
        <w:t>Over time</w:t>
      </w:r>
      <w:r w:rsidR="00A016F4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the </w:t>
      </w:r>
      <w:r w:rsidRPr="0005213D">
        <w:rPr>
          <w:rFonts w:eastAsia="Times New Roman" w:cstheme="minorHAnsi"/>
          <w:i/>
          <w:iCs/>
        </w:rPr>
        <w:t>courses</w:t>
      </w:r>
      <w:r>
        <w:rPr>
          <w:rFonts w:eastAsia="Times New Roman" w:cstheme="minorHAnsi"/>
        </w:rPr>
        <w:t xml:space="preserve"> will be available in multiple </w:t>
      </w:r>
      <w:r w:rsidR="00B650F2">
        <w:rPr>
          <w:rFonts w:eastAsia="Times New Roman" w:cstheme="minorHAnsi"/>
        </w:rPr>
        <w:t>modalities, which include synchronous and asynchronous online classes, in-person classes, weeklong seminars, and the like.</w:t>
      </w:r>
    </w:p>
    <w:p w14:paraId="4D741B7E" w14:textId="370EF8BE" w:rsidR="00C41A59" w:rsidRPr="00C41A59" w:rsidRDefault="00B650F2" w:rsidP="00C41A59">
      <w:pPr>
        <w:rPr>
          <w:rFonts w:cstheme="minorHAnsi"/>
        </w:rPr>
      </w:pPr>
      <w:r>
        <w:rPr>
          <w:rFonts w:eastAsia="Times New Roman" w:cstheme="minorHAnsi"/>
        </w:rPr>
        <w:t xml:space="preserve"> </w:t>
      </w:r>
    </w:p>
    <w:p w14:paraId="2377466D" w14:textId="503385E5" w:rsidR="00C41A59" w:rsidRDefault="00C41A59" w:rsidP="00C41A59">
      <w:pPr>
        <w:rPr>
          <w:rFonts w:cstheme="minorHAnsi"/>
          <w:b/>
          <w:bCs/>
        </w:rPr>
      </w:pPr>
      <w:r w:rsidRPr="00C41A59">
        <w:rPr>
          <w:rFonts w:cstheme="minorHAnsi"/>
          <w:b/>
          <w:bCs/>
        </w:rPr>
        <w:t>Role of the Endowed Chair</w:t>
      </w:r>
    </w:p>
    <w:p w14:paraId="1023C04A" w14:textId="4903BA03" w:rsidR="00DB6B30" w:rsidRDefault="00CD0E09" w:rsidP="00CD0E09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The person holding the San Manuel Band of Mission Indians </w:t>
      </w:r>
      <w:r w:rsidR="00DB6B30">
        <w:rPr>
          <w:rFonts w:cstheme="minorHAnsi"/>
        </w:rPr>
        <w:t xml:space="preserve">(SMBMI) </w:t>
      </w:r>
      <w:r>
        <w:rPr>
          <w:rFonts w:cstheme="minorHAnsi"/>
        </w:rPr>
        <w:t xml:space="preserve">Endowed Chair will </w:t>
      </w:r>
      <w:r w:rsidR="00A016F4">
        <w:rPr>
          <w:rFonts w:cstheme="minorHAnsi"/>
        </w:rPr>
        <w:t>serve as</w:t>
      </w:r>
      <w:r>
        <w:rPr>
          <w:rFonts w:cstheme="minorHAnsi"/>
        </w:rPr>
        <w:t xml:space="preserve"> a faculty member of the William F. Harrah College of Hospitality</w:t>
      </w:r>
      <w:r w:rsidR="00DB6B30">
        <w:rPr>
          <w:rFonts w:cstheme="minorHAnsi"/>
        </w:rPr>
        <w:t>’s Resort, Gaming, and Golf department</w:t>
      </w:r>
      <w:r w:rsidR="00A016F4">
        <w:rPr>
          <w:rFonts w:cstheme="minorHAnsi"/>
        </w:rPr>
        <w:t>,</w:t>
      </w:r>
      <w:r w:rsidR="00DB6B30">
        <w:rPr>
          <w:rFonts w:cstheme="minorHAnsi"/>
        </w:rPr>
        <w:t xml:space="preserve"> report</w:t>
      </w:r>
      <w:r w:rsidR="00A016F4">
        <w:rPr>
          <w:rFonts w:cstheme="minorHAnsi"/>
        </w:rPr>
        <w:t>ing</w:t>
      </w:r>
      <w:r w:rsidR="00DB6B30">
        <w:rPr>
          <w:rFonts w:cstheme="minorHAnsi"/>
        </w:rPr>
        <w:t xml:space="preserve"> </w:t>
      </w:r>
      <w:r w:rsidR="00A016F4">
        <w:rPr>
          <w:rFonts w:cstheme="minorHAnsi"/>
        </w:rPr>
        <w:t xml:space="preserve">directly </w:t>
      </w:r>
      <w:r w:rsidR="00DB6B30">
        <w:rPr>
          <w:rFonts w:cstheme="minorHAnsi"/>
        </w:rPr>
        <w:t>to the dean.</w:t>
      </w:r>
    </w:p>
    <w:p w14:paraId="4D220ADC" w14:textId="77777777" w:rsidR="00DB6B30" w:rsidRDefault="00DB6B30" w:rsidP="00CD0E09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265695A0" w14:textId="5707757E" w:rsidR="00DB6B30" w:rsidRDefault="00DB6B30" w:rsidP="00CD0E09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The responsibilities of the person holding </w:t>
      </w:r>
      <w:r w:rsidR="00A016F4">
        <w:rPr>
          <w:rFonts w:cstheme="minorHAnsi"/>
        </w:rPr>
        <w:t xml:space="preserve">the </w:t>
      </w:r>
      <w:r>
        <w:rPr>
          <w:rFonts w:cstheme="minorHAnsi"/>
        </w:rPr>
        <w:t xml:space="preserve">SMBMI Endowed Chair will </w:t>
      </w:r>
      <w:r w:rsidR="00B533CC">
        <w:rPr>
          <w:rFonts w:cstheme="minorHAnsi"/>
        </w:rPr>
        <w:t>include the following:</w:t>
      </w:r>
      <w:r>
        <w:rPr>
          <w:rFonts w:cstheme="minorHAnsi"/>
        </w:rPr>
        <w:t xml:space="preserve"> </w:t>
      </w:r>
    </w:p>
    <w:p w14:paraId="0208D5B5" w14:textId="7B57A53F" w:rsidR="00DB6B30" w:rsidRDefault="000055D9" w:rsidP="00DB6B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O</w:t>
      </w:r>
      <w:r w:rsidR="00DB6B30" w:rsidRPr="00DB6B30">
        <w:rPr>
          <w:rFonts w:cstheme="minorHAnsi"/>
        </w:rPr>
        <w:t xml:space="preserve">versee </w:t>
      </w:r>
      <w:r w:rsidR="00F81855">
        <w:rPr>
          <w:rFonts w:cstheme="minorHAnsi"/>
        </w:rPr>
        <w:t xml:space="preserve">the development and deployment of all </w:t>
      </w:r>
      <w:r w:rsidR="00DB6B30" w:rsidRPr="00DB6B30">
        <w:rPr>
          <w:rFonts w:cstheme="minorHAnsi"/>
        </w:rPr>
        <w:t>educational offerings (</w:t>
      </w:r>
      <w:r w:rsidR="00DB6B30" w:rsidRPr="00DB6B30">
        <w:rPr>
          <w:rFonts w:cstheme="minorHAnsi"/>
          <w:i/>
          <w:iCs/>
        </w:rPr>
        <w:t>courses</w:t>
      </w:r>
      <w:r w:rsidR="00DB6B30" w:rsidRPr="00DB6B30">
        <w:rPr>
          <w:rFonts w:cstheme="minorHAnsi"/>
        </w:rPr>
        <w:t xml:space="preserve">) related to </w:t>
      </w:r>
      <w:r w:rsidR="00824C9F">
        <w:rPr>
          <w:rFonts w:cstheme="minorHAnsi"/>
        </w:rPr>
        <w:t>tribal g</w:t>
      </w:r>
      <w:r w:rsidR="00DB6B30">
        <w:rPr>
          <w:rFonts w:cstheme="minorHAnsi"/>
        </w:rPr>
        <w:t>aming</w:t>
      </w:r>
      <w:r w:rsidR="00F81855">
        <w:rPr>
          <w:rFonts w:cstheme="minorHAnsi"/>
        </w:rPr>
        <w:t>.</w:t>
      </w:r>
    </w:p>
    <w:p w14:paraId="6A14B40F" w14:textId="444C8DF5" w:rsidR="00F81855" w:rsidRDefault="00F81855" w:rsidP="00DB6B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Ensure that all educational offerings are “up-to-date,” meaning that </w:t>
      </w:r>
      <w:r w:rsidR="00A016F4">
        <w:rPr>
          <w:rFonts w:cstheme="minorHAnsi"/>
        </w:rPr>
        <w:t xml:space="preserve">when </w:t>
      </w:r>
      <w:r>
        <w:rPr>
          <w:rFonts w:cstheme="minorHAnsi"/>
        </w:rPr>
        <w:t xml:space="preserve">the needs of </w:t>
      </w:r>
      <w:r w:rsidR="00A016F4">
        <w:rPr>
          <w:rFonts w:cstheme="minorHAnsi"/>
        </w:rPr>
        <w:t>t</w:t>
      </w:r>
      <w:r>
        <w:rPr>
          <w:rFonts w:cstheme="minorHAnsi"/>
        </w:rPr>
        <w:t xml:space="preserve">ribal </w:t>
      </w:r>
      <w:r w:rsidR="00A016F4">
        <w:rPr>
          <w:rFonts w:cstheme="minorHAnsi"/>
        </w:rPr>
        <w:t>e</w:t>
      </w:r>
      <w:r>
        <w:rPr>
          <w:rFonts w:cstheme="minorHAnsi"/>
        </w:rPr>
        <w:t>ntities change, so do the course offerings.</w:t>
      </w:r>
    </w:p>
    <w:p w14:paraId="2C330DAA" w14:textId="2866AB67" w:rsidR="00B533CC" w:rsidRDefault="00824C9F" w:rsidP="00DB6B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Complete the required updates stipulated in the gift and provide updates to the leadership</w:t>
      </w:r>
      <w:r w:rsidR="00B533CC">
        <w:rPr>
          <w:rFonts w:cstheme="minorHAnsi"/>
        </w:rPr>
        <w:t xml:space="preserve"> at San Manuel Band of Mission Indians</w:t>
      </w:r>
      <w:r w:rsidR="00A016F4">
        <w:rPr>
          <w:rFonts w:cstheme="minorHAnsi"/>
        </w:rPr>
        <w:t>.</w:t>
      </w:r>
    </w:p>
    <w:p w14:paraId="18E69C99" w14:textId="346FE190" w:rsidR="00B533CC" w:rsidRDefault="00B533CC" w:rsidP="00DB6B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Develop and maintain relationships </w:t>
      </w:r>
      <w:r w:rsidR="00DB6B30">
        <w:rPr>
          <w:rFonts w:cstheme="minorHAnsi"/>
        </w:rPr>
        <w:t xml:space="preserve">with </w:t>
      </w:r>
      <w:r w:rsidR="00A016F4">
        <w:rPr>
          <w:rFonts w:cstheme="minorHAnsi"/>
        </w:rPr>
        <w:t>t</w:t>
      </w:r>
      <w:r w:rsidR="00DB6B30">
        <w:rPr>
          <w:rFonts w:cstheme="minorHAnsi"/>
        </w:rPr>
        <w:t xml:space="preserve">ribal </w:t>
      </w:r>
      <w:r w:rsidR="00A016F4">
        <w:rPr>
          <w:rFonts w:cstheme="minorHAnsi"/>
        </w:rPr>
        <w:t>o</w:t>
      </w:r>
      <w:r w:rsidR="00DB6B30">
        <w:rPr>
          <w:rFonts w:cstheme="minorHAnsi"/>
        </w:rPr>
        <w:t xml:space="preserve">rganizations </w:t>
      </w:r>
      <w:r>
        <w:rPr>
          <w:rFonts w:cstheme="minorHAnsi"/>
        </w:rPr>
        <w:t xml:space="preserve">across North America. These organizations include, but are not limited to, </w:t>
      </w:r>
      <w:r w:rsidR="00A016F4">
        <w:rPr>
          <w:rFonts w:cstheme="minorHAnsi"/>
        </w:rPr>
        <w:t>t</w:t>
      </w:r>
      <w:r>
        <w:rPr>
          <w:rFonts w:cstheme="minorHAnsi"/>
        </w:rPr>
        <w:t xml:space="preserve">ribal </w:t>
      </w:r>
      <w:r w:rsidR="00A016F4">
        <w:rPr>
          <w:rFonts w:cstheme="minorHAnsi"/>
        </w:rPr>
        <w:t>c</w:t>
      </w:r>
      <w:r>
        <w:rPr>
          <w:rFonts w:cstheme="minorHAnsi"/>
        </w:rPr>
        <w:t xml:space="preserve">olleges, </w:t>
      </w:r>
      <w:r w:rsidR="00A016F4">
        <w:rPr>
          <w:rFonts w:cstheme="minorHAnsi"/>
        </w:rPr>
        <w:t>t</w:t>
      </w:r>
      <w:r>
        <w:rPr>
          <w:rFonts w:cstheme="minorHAnsi"/>
        </w:rPr>
        <w:t xml:space="preserve">ribal </w:t>
      </w:r>
      <w:r w:rsidR="00A016F4">
        <w:rPr>
          <w:rFonts w:cstheme="minorHAnsi"/>
        </w:rPr>
        <w:t>n</w:t>
      </w:r>
      <w:r>
        <w:rPr>
          <w:rFonts w:cstheme="minorHAnsi"/>
        </w:rPr>
        <w:t xml:space="preserve">ations both with casinos and without casinos, and groups that support </w:t>
      </w:r>
      <w:r w:rsidR="00A016F4">
        <w:rPr>
          <w:rFonts w:cstheme="minorHAnsi"/>
        </w:rPr>
        <w:t>t</w:t>
      </w:r>
      <w:r>
        <w:rPr>
          <w:rFonts w:cstheme="minorHAnsi"/>
        </w:rPr>
        <w:t xml:space="preserve">ribal </w:t>
      </w:r>
      <w:r w:rsidR="00A016F4">
        <w:rPr>
          <w:rFonts w:cstheme="minorHAnsi"/>
        </w:rPr>
        <w:t>g</w:t>
      </w:r>
      <w:r>
        <w:rPr>
          <w:rFonts w:cstheme="minorHAnsi"/>
        </w:rPr>
        <w:t>aming (e.g., NIGA)</w:t>
      </w:r>
      <w:r w:rsidR="00A016F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74DAD655" w14:textId="6D6C6542" w:rsidR="00B533CC" w:rsidRDefault="00B533CC" w:rsidP="00DB6B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Work with the college leadership team to promote </w:t>
      </w:r>
      <w:r w:rsidR="00A016F4">
        <w:rPr>
          <w:rFonts w:cstheme="minorHAnsi"/>
        </w:rPr>
        <w:t>t</w:t>
      </w:r>
      <w:r>
        <w:rPr>
          <w:rFonts w:cstheme="minorHAnsi"/>
        </w:rPr>
        <w:t xml:space="preserve">ribal </w:t>
      </w:r>
      <w:r w:rsidR="00A016F4">
        <w:rPr>
          <w:rFonts w:cstheme="minorHAnsi"/>
        </w:rPr>
        <w:t>g</w:t>
      </w:r>
      <w:r>
        <w:rPr>
          <w:rFonts w:cstheme="minorHAnsi"/>
        </w:rPr>
        <w:t xml:space="preserve">aming offerings to other non-tribal entities such as community colleges, four-year institutions, and others wishing to learn more about </w:t>
      </w:r>
      <w:r w:rsidR="00A016F4">
        <w:rPr>
          <w:rFonts w:cstheme="minorHAnsi"/>
        </w:rPr>
        <w:t>t</w:t>
      </w:r>
      <w:r>
        <w:rPr>
          <w:rFonts w:cstheme="minorHAnsi"/>
        </w:rPr>
        <w:t xml:space="preserve">ribal </w:t>
      </w:r>
      <w:r w:rsidR="00A016F4">
        <w:rPr>
          <w:rFonts w:cstheme="minorHAnsi"/>
        </w:rPr>
        <w:t>g</w:t>
      </w:r>
      <w:r>
        <w:rPr>
          <w:rFonts w:cstheme="minorHAnsi"/>
        </w:rPr>
        <w:t xml:space="preserve">aming. </w:t>
      </w:r>
    </w:p>
    <w:p w14:paraId="272C6FF8" w14:textId="11226879" w:rsidR="00F81855" w:rsidRDefault="00F81855" w:rsidP="00DB6B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Work with college faculty to ensure that </w:t>
      </w:r>
      <w:r w:rsidR="00A016F4">
        <w:rPr>
          <w:rFonts w:cstheme="minorHAnsi"/>
        </w:rPr>
        <w:t xml:space="preserve">the unique elements of tribal gaming are represented in </w:t>
      </w:r>
      <w:r w:rsidR="00F75EBC">
        <w:rPr>
          <w:rFonts w:cstheme="minorHAnsi"/>
        </w:rPr>
        <w:t>appropriate</w:t>
      </w:r>
      <w:r>
        <w:rPr>
          <w:rFonts w:cstheme="minorHAnsi"/>
        </w:rPr>
        <w:t xml:space="preserve"> gaming classes.</w:t>
      </w:r>
    </w:p>
    <w:p w14:paraId="57D4993E" w14:textId="1C10899A" w:rsidR="00CD0E09" w:rsidRDefault="00F81855" w:rsidP="00DB6B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Work with college leadership team to</w:t>
      </w:r>
      <w:r w:rsidR="00CD0E09" w:rsidRPr="00DB6B30">
        <w:rPr>
          <w:rFonts w:cstheme="minorHAnsi"/>
        </w:rPr>
        <w:t xml:space="preserve"> plac</w:t>
      </w:r>
      <w:r>
        <w:rPr>
          <w:rFonts w:cstheme="minorHAnsi"/>
        </w:rPr>
        <w:t>e</w:t>
      </w:r>
      <w:r w:rsidR="00CD0E09" w:rsidRPr="00DB6B30">
        <w:rPr>
          <w:rFonts w:cstheme="minorHAnsi"/>
        </w:rPr>
        <w:t xml:space="preserve"> student</w:t>
      </w:r>
      <w:r>
        <w:rPr>
          <w:rFonts w:cstheme="minorHAnsi"/>
        </w:rPr>
        <w:t xml:space="preserve"> intern</w:t>
      </w:r>
      <w:r w:rsidR="00CD0E09" w:rsidRPr="00DB6B30">
        <w:rPr>
          <w:rFonts w:cstheme="minorHAnsi"/>
        </w:rPr>
        <w:t xml:space="preserve">s with </w:t>
      </w:r>
      <w:r w:rsidR="00A016F4">
        <w:rPr>
          <w:rFonts w:cstheme="minorHAnsi"/>
        </w:rPr>
        <w:t>t</w:t>
      </w:r>
      <w:r>
        <w:rPr>
          <w:rFonts w:cstheme="minorHAnsi"/>
        </w:rPr>
        <w:t xml:space="preserve">ribal </w:t>
      </w:r>
      <w:r w:rsidR="00CD0E09" w:rsidRPr="00DB6B30">
        <w:rPr>
          <w:rFonts w:cstheme="minorHAnsi"/>
        </w:rPr>
        <w:t xml:space="preserve">gaming companies; mentor </w:t>
      </w:r>
      <w:r w:rsidRPr="00DB6B30">
        <w:rPr>
          <w:rFonts w:cstheme="minorHAnsi"/>
        </w:rPr>
        <w:t>students</w:t>
      </w:r>
      <w:r>
        <w:rPr>
          <w:rFonts w:cstheme="minorHAnsi"/>
        </w:rPr>
        <w:t xml:space="preserve"> and</w:t>
      </w:r>
      <w:r w:rsidR="00CD0E09" w:rsidRPr="00DB6B30">
        <w:rPr>
          <w:rFonts w:cstheme="minorHAnsi"/>
        </w:rPr>
        <w:t xml:space="preserve"> assist in the placement of graduates in industry positions.</w:t>
      </w:r>
    </w:p>
    <w:p w14:paraId="1FFDB8A0" w14:textId="526DF5CB" w:rsidR="00F81855" w:rsidRDefault="00F81855" w:rsidP="00DB6B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lastRenderedPageBreak/>
        <w:t xml:space="preserve">Work with the </w:t>
      </w:r>
      <w:r w:rsidR="00A016F4">
        <w:rPr>
          <w:rFonts w:cstheme="minorHAnsi"/>
        </w:rPr>
        <w:t>d</w:t>
      </w:r>
      <w:r>
        <w:rPr>
          <w:rFonts w:cstheme="minorHAnsi"/>
        </w:rPr>
        <w:t>irector of the</w:t>
      </w:r>
      <w:r w:rsidR="00A016F4">
        <w:rPr>
          <w:rFonts w:cstheme="minorHAnsi"/>
        </w:rPr>
        <w:t xml:space="preserve"> college’s</w:t>
      </w:r>
      <w:r>
        <w:rPr>
          <w:rFonts w:cstheme="minorHAnsi"/>
        </w:rPr>
        <w:t xml:space="preserve"> Sands Center</w:t>
      </w:r>
      <w:r w:rsidR="00A016F4">
        <w:rPr>
          <w:rFonts w:cstheme="minorHAnsi"/>
        </w:rPr>
        <w:t xml:space="preserve"> for Professional Development</w:t>
      </w:r>
      <w:r>
        <w:rPr>
          <w:rFonts w:cstheme="minorHAnsi"/>
        </w:rPr>
        <w:t xml:space="preserve"> to host executive education seminars and certificate programs for </w:t>
      </w:r>
      <w:r w:rsidR="00A016F4">
        <w:rPr>
          <w:rFonts w:cstheme="minorHAnsi"/>
        </w:rPr>
        <w:t>t</w:t>
      </w:r>
      <w:r>
        <w:rPr>
          <w:rFonts w:cstheme="minorHAnsi"/>
        </w:rPr>
        <w:t xml:space="preserve">ribal </w:t>
      </w:r>
      <w:r w:rsidR="00A016F4">
        <w:rPr>
          <w:rFonts w:cstheme="minorHAnsi"/>
        </w:rPr>
        <w:t>m</w:t>
      </w:r>
      <w:r>
        <w:rPr>
          <w:rFonts w:cstheme="minorHAnsi"/>
        </w:rPr>
        <w:t>embers.</w:t>
      </w:r>
    </w:p>
    <w:p w14:paraId="59A8A913" w14:textId="1C048EBD" w:rsidR="00CD0E09" w:rsidRPr="00C53545" w:rsidRDefault="005268C5" w:rsidP="00C41A5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As needed</w:t>
      </w:r>
      <w:r w:rsidR="00A016F4">
        <w:rPr>
          <w:rFonts w:cstheme="minorHAnsi"/>
        </w:rPr>
        <w:t>,</w:t>
      </w:r>
      <w:r>
        <w:rPr>
          <w:rFonts w:cstheme="minorHAnsi"/>
        </w:rPr>
        <w:t xml:space="preserve"> teach class</w:t>
      </w:r>
      <w:r w:rsidR="00C53545">
        <w:rPr>
          <w:rFonts w:cstheme="minorHAnsi"/>
        </w:rPr>
        <w:t>es in area</w:t>
      </w:r>
      <w:r w:rsidR="00A016F4">
        <w:rPr>
          <w:rFonts w:cstheme="minorHAnsi"/>
        </w:rPr>
        <w:t>s</w:t>
      </w:r>
      <w:r w:rsidR="00C53545">
        <w:rPr>
          <w:rFonts w:cstheme="minorHAnsi"/>
        </w:rPr>
        <w:t xml:space="preserve"> related to hospitality and gaming.</w:t>
      </w:r>
    </w:p>
    <w:p w14:paraId="45274AF2" w14:textId="77777777" w:rsidR="00A016F4" w:rsidRDefault="00A016F4" w:rsidP="00C41A59">
      <w:pPr>
        <w:rPr>
          <w:rFonts w:cstheme="minorHAnsi"/>
          <w:b/>
          <w:bCs/>
        </w:rPr>
      </w:pPr>
    </w:p>
    <w:p w14:paraId="23E4C6BB" w14:textId="4723D821" w:rsidR="00C41A59" w:rsidRPr="00C41A59" w:rsidRDefault="00C41A59" w:rsidP="00C41A59">
      <w:pPr>
        <w:rPr>
          <w:rFonts w:cstheme="minorHAnsi"/>
          <w:b/>
          <w:bCs/>
        </w:rPr>
      </w:pPr>
      <w:r w:rsidRPr="00C41A59">
        <w:rPr>
          <w:rFonts w:cstheme="minorHAnsi"/>
          <w:b/>
          <w:bCs/>
        </w:rPr>
        <w:t>Use of Endowed Chair Funds</w:t>
      </w:r>
    </w:p>
    <w:p w14:paraId="5C43B7BB" w14:textId="1B22F9F4" w:rsidR="002849D0" w:rsidRDefault="002849D0" w:rsidP="002849D0">
      <w:pPr>
        <w:rPr>
          <w:rFonts w:cstheme="minorHAnsi"/>
        </w:rPr>
      </w:pPr>
      <w:r>
        <w:rPr>
          <w:rFonts w:cstheme="minorHAnsi"/>
        </w:rPr>
        <w:t>The $6,000,000 gift is being paid out over 5 years. $1,000,000 ($200,000 per year) is in spendable cash</w:t>
      </w:r>
      <w:r w:rsidR="00A016F4">
        <w:rPr>
          <w:rFonts w:cstheme="minorHAnsi"/>
        </w:rPr>
        <w:t>,</w:t>
      </w:r>
      <w:r>
        <w:rPr>
          <w:rFonts w:cstheme="minorHAnsi"/>
        </w:rPr>
        <w:t xml:space="preserve"> and $</w:t>
      </w:r>
      <w:r w:rsidR="00A016F4">
        <w:rPr>
          <w:rFonts w:cstheme="minorHAnsi"/>
        </w:rPr>
        <w:t>5</w:t>
      </w:r>
      <w:r>
        <w:rPr>
          <w:rFonts w:cstheme="minorHAnsi"/>
        </w:rPr>
        <w:t xml:space="preserve">,000,000 </w:t>
      </w:r>
      <w:r w:rsidR="00A016F4">
        <w:rPr>
          <w:rFonts w:cstheme="minorHAnsi"/>
        </w:rPr>
        <w:t>will fund</w:t>
      </w:r>
      <w:r>
        <w:rPr>
          <w:rFonts w:cstheme="minorHAnsi"/>
        </w:rPr>
        <w:t xml:space="preserve"> the endowment. At the end of 5 years, the yearly endowment income is projected to </w:t>
      </w:r>
      <w:r w:rsidR="00A016F4">
        <w:rPr>
          <w:rFonts w:cstheme="minorHAnsi"/>
        </w:rPr>
        <w:t xml:space="preserve">generate </w:t>
      </w:r>
      <w:r>
        <w:rPr>
          <w:rFonts w:cstheme="minorHAnsi"/>
        </w:rPr>
        <w:t xml:space="preserve">approximately $175,000 per year (at 3.5% return rate). Funds will be used to supplement the salary of the person holding the endowed chair and ensure that all the responsibilities listed previously </w:t>
      </w:r>
      <w:r w:rsidR="00A016F4">
        <w:rPr>
          <w:rFonts w:cstheme="minorHAnsi"/>
        </w:rPr>
        <w:t>are carried out</w:t>
      </w:r>
      <w:r>
        <w:rPr>
          <w:rFonts w:cstheme="minorHAnsi"/>
        </w:rPr>
        <w:t>.</w:t>
      </w:r>
    </w:p>
    <w:p w14:paraId="613D6411" w14:textId="0B34BB24" w:rsidR="00F62F04" w:rsidRDefault="00F62F04" w:rsidP="002849D0">
      <w:pPr>
        <w:rPr>
          <w:rFonts w:cstheme="minorHAnsi"/>
        </w:rPr>
      </w:pPr>
    </w:p>
    <w:p w14:paraId="00FC1B30" w14:textId="5A07AEC1" w:rsidR="00F62F04" w:rsidRPr="00F62F04" w:rsidRDefault="00F62F04" w:rsidP="002849D0">
      <w:pPr>
        <w:rPr>
          <w:rFonts w:cstheme="minorHAnsi"/>
          <w:b/>
          <w:bCs/>
        </w:rPr>
      </w:pPr>
      <w:r w:rsidRPr="00F62F04">
        <w:rPr>
          <w:rFonts w:cstheme="minorHAnsi"/>
          <w:b/>
          <w:bCs/>
        </w:rPr>
        <w:t>Academic Rank of San Manuel Band of Mission Indians Chair</w:t>
      </w:r>
    </w:p>
    <w:p w14:paraId="1E7533B4" w14:textId="4B10A8FA" w:rsidR="003F3833" w:rsidRDefault="00F43E36" w:rsidP="002849D0">
      <w:pPr>
        <w:rPr>
          <w:rFonts w:cstheme="minorHAnsi"/>
        </w:rPr>
      </w:pPr>
      <w:r>
        <w:rPr>
          <w:rFonts w:cstheme="minorHAnsi"/>
        </w:rPr>
        <w:t xml:space="preserve">To find the most suitable candidate to ensure the continued success of the Program in Tribal Gaming, the Harrah College of Hospitality will search for qualified candidates who </w:t>
      </w:r>
      <w:r w:rsidR="00A016F4">
        <w:rPr>
          <w:rFonts w:cstheme="minorHAnsi"/>
        </w:rPr>
        <w:t xml:space="preserve">hold </w:t>
      </w:r>
      <w:r>
        <w:rPr>
          <w:rFonts w:cstheme="minorHAnsi"/>
        </w:rPr>
        <w:t xml:space="preserve">either a master’s degree or a terminal degree (e.g., JD, PhD, MD). </w:t>
      </w:r>
      <w:r w:rsidR="00A016F4" w:rsidRPr="00824C9F">
        <w:rPr>
          <w:rFonts w:cstheme="minorHAnsi"/>
          <w:i/>
          <w:iCs/>
        </w:rPr>
        <w:t>Note: The</w:t>
      </w:r>
      <w:r w:rsidR="00A016F4">
        <w:rPr>
          <w:rFonts w:cstheme="minorHAnsi"/>
          <w:i/>
          <w:iCs/>
        </w:rPr>
        <w:t xml:space="preserve"> </w:t>
      </w:r>
      <w:r w:rsidR="00A016F4" w:rsidRPr="00824C9F">
        <w:rPr>
          <w:rFonts w:cstheme="minorHAnsi"/>
          <w:i/>
          <w:iCs/>
        </w:rPr>
        <w:t>search announcement can be found in the Appendix of this document.</w:t>
      </w:r>
      <w:r w:rsidR="00A016F4">
        <w:rPr>
          <w:rFonts w:cstheme="minorHAnsi"/>
        </w:rPr>
        <w:t xml:space="preserve"> </w:t>
      </w:r>
      <w:r>
        <w:rPr>
          <w:rFonts w:cstheme="minorHAnsi"/>
        </w:rPr>
        <w:t>We will open the search to all academic ranks as described below</w:t>
      </w:r>
      <w:r w:rsidR="00A016F4">
        <w:rPr>
          <w:rFonts w:cstheme="minorHAnsi"/>
        </w:rPr>
        <w:t>:</w:t>
      </w:r>
    </w:p>
    <w:p w14:paraId="77A4C732" w14:textId="77777777" w:rsidR="00F43E36" w:rsidRPr="00F43E36" w:rsidRDefault="00F43E36" w:rsidP="002849D0">
      <w:pPr>
        <w:rPr>
          <w:rFonts w:cstheme="minorHAnsi"/>
        </w:rPr>
      </w:pPr>
    </w:p>
    <w:p w14:paraId="67DE2044" w14:textId="500725FA" w:rsidR="003F1310" w:rsidRDefault="00F43E36" w:rsidP="002849D0">
      <w:pPr>
        <w:rPr>
          <w:rFonts w:cstheme="minorHAnsi"/>
        </w:rPr>
      </w:pPr>
      <w:r w:rsidRPr="00F43E36">
        <w:rPr>
          <w:rFonts w:cstheme="minorHAnsi"/>
          <w:i/>
          <w:iCs/>
        </w:rPr>
        <w:t>A Note on Academic Rank</w:t>
      </w:r>
      <w:r>
        <w:rPr>
          <w:rFonts w:cstheme="minorHAnsi"/>
        </w:rPr>
        <w:t xml:space="preserve">: </w:t>
      </w:r>
      <w:r w:rsidR="003F1310">
        <w:rPr>
          <w:rFonts w:cstheme="minorHAnsi"/>
        </w:rPr>
        <w:t>The academic rank of a faculty member is determined by the level of education. At UNLV, the different ranks are as follows:</w:t>
      </w:r>
    </w:p>
    <w:p w14:paraId="73C81AAC" w14:textId="45CB4CD0" w:rsidR="00F62F04" w:rsidRDefault="003F1310" w:rsidP="003F131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Lecture</w:t>
      </w:r>
      <w:r w:rsidR="00A016F4">
        <w:rPr>
          <w:rFonts w:cstheme="minorHAnsi"/>
        </w:rPr>
        <w:t>r</w:t>
      </w:r>
      <w:r>
        <w:rPr>
          <w:rFonts w:cstheme="minorHAnsi"/>
        </w:rPr>
        <w:t xml:space="preserve"> – Master’s Degree</w:t>
      </w:r>
    </w:p>
    <w:p w14:paraId="38E94318" w14:textId="4FBB7076" w:rsidR="003F1310" w:rsidRDefault="003F1310" w:rsidP="003F131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Faculty in Residence – Terminal Degree (e.g., JD, PhD, MD). There are three levels of Faculty in Residence: </w:t>
      </w:r>
      <w:r w:rsidR="00A016F4">
        <w:rPr>
          <w:rFonts w:cstheme="minorHAnsi"/>
        </w:rPr>
        <w:t>“</w:t>
      </w:r>
      <w:r>
        <w:rPr>
          <w:rFonts w:cstheme="minorHAnsi"/>
        </w:rPr>
        <w:t>Assistant,</w:t>
      </w:r>
      <w:r w:rsidR="00A016F4">
        <w:rPr>
          <w:rFonts w:cstheme="minorHAnsi"/>
        </w:rPr>
        <w:t>”</w:t>
      </w:r>
      <w:r>
        <w:rPr>
          <w:rFonts w:cstheme="minorHAnsi"/>
        </w:rPr>
        <w:t xml:space="preserve"> </w:t>
      </w:r>
      <w:r w:rsidR="00A016F4">
        <w:rPr>
          <w:rFonts w:cstheme="minorHAnsi"/>
        </w:rPr>
        <w:t>“</w:t>
      </w:r>
      <w:r>
        <w:rPr>
          <w:rFonts w:cstheme="minorHAnsi"/>
        </w:rPr>
        <w:t>Associate,</w:t>
      </w:r>
      <w:r w:rsidR="00A016F4">
        <w:rPr>
          <w:rFonts w:cstheme="minorHAnsi"/>
        </w:rPr>
        <w:t>”</w:t>
      </w:r>
      <w:r>
        <w:rPr>
          <w:rFonts w:cstheme="minorHAnsi"/>
        </w:rPr>
        <w:t xml:space="preserve"> and </w:t>
      </w:r>
      <w:r w:rsidR="00A016F4">
        <w:rPr>
          <w:rFonts w:cstheme="minorHAnsi"/>
        </w:rPr>
        <w:t>“</w:t>
      </w:r>
      <w:r>
        <w:rPr>
          <w:rFonts w:cstheme="minorHAnsi"/>
        </w:rPr>
        <w:t>Full.</w:t>
      </w:r>
      <w:r w:rsidR="00A016F4">
        <w:rPr>
          <w:rFonts w:cstheme="minorHAnsi"/>
        </w:rPr>
        <w:t>”</w:t>
      </w:r>
      <w:r>
        <w:rPr>
          <w:rFonts w:cstheme="minorHAnsi"/>
        </w:rPr>
        <w:t xml:space="preserve"> </w:t>
      </w:r>
      <w:r w:rsidR="00A016F4">
        <w:rPr>
          <w:rFonts w:cstheme="minorHAnsi"/>
        </w:rPr>
        <w:t>A Faculty in Residence typically</w:t>
      </w:r>
      <w:r>
        <w:rPr>
          <w:rFonts w:cstheme="minorHAnsi"/>
        </w:rPr>
        <w:t xml:space="preserve"> start</w:t>
      </w:r>
      <w:r w:rsidR="00A016F4">
        <w:rPr>
          <w:rFonts w:cstheme="minorHAnsi"/>
        </w:rPr>
        <w:t>s</w:t>
      </w:r>
      <w:r>
        <w:rPr>
          <w:rFonts w:cstheme="minorHAnsi"/>
        </w:rPr>
        <w:t xml:space="preserve"> an </w:t>
      </w:r>
      <w:r w:rsidR="00A016F4">
        <w:rPr>
          <w:rFonts w:cstheme="minorHAnsi"/>
        </w:rPr>
        <w:t>“</w:t>
      </w:r>
      <w:r>
        <w:rPr>
          <w:rFonts w:cstheme="minorHAnsi"/>
        </w:rPr>
        <w:t>Assistant</w:t>
      </w:r>
      <w:r w:rsidR="00A016F4">
        <w:rPr>
          <w:rFonts w:cstheme="minorHAnsi"/>
        </w:rPr>
        <w:t>”</w:t>
      </w:r>
      <w:r>
        <w:rPr>
          <w:rFonts w:cstheme="minorHAnsi"/>
        </w:rPr>
        <w:t xml:space="preserve"> and over time – based upon performance – can move up in rank. The Faculty in Residence position is not eligible for tenure</w:t>
      </w:r>
      <w:r w:rsidR="00A016F4">
        <w:rPr>
          <w:rFonts w:cstheme="minorHAnsi"/>
        </w:rPr>
        <w:t>.</w:t>
      </w:r>
    </w:p>
    <w:p w14:paraId="73329956" w14:textId="69DC7263" w:rsidR="003F1310" w:rsidRDefault="003F1310" w:rsidP="003F131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Assistant Professor tenure track – Terminal Degree</w:t>
      </w:r>
      <w:r w:rsidR="007356B0">
        <w:rPr>
          <w:rFonts w:cstheme="minorHAnsi"/>
        </w:rPr>
        <w:t xml:space="preserve"> (e.g., JD, PhD, MD). In the sixth year of employment</w:t>
      </w:r>
      <w:r w:rsidR="00A016F4">
        <w:rPr>
          <w:rFonts w:cstheme="minorHAnsi"/>
        </w:rPr>
        <w:t>,</w:t>
      </w:r>
      <w:r w:rsidR="007356B0">
        <w:rPr>
          <w:rFonts w:cstheme="minorHAnsi"/>
        </w:rPr>
        <w:t xml:space="preserve"> an Assistant Professor can apply to become an Associate Professor with tenure. Eligibility for promotion is based upon research, teaching, and service. </w:t>
      </w:r>
    </w:p>
    <w:p w14:paraId="3C7A196F" w14:textId="491D34B4" w:rsidR="007356B0" w:rsidRDefault="007356B0" w:rsidP="003F131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Associate Professor with tenure - Terminal Degree (e.g., JD, PhD, MD). In the sixth year of employment</w:t>
      </w:r>
      <w:r w:rsidR="00A016F4">
        <w:rPr>
          <w:rFonts w:cstheme="minorHAnsi"/>
        </w:rPr>
        <w:t>,</w:t>
      </w:r>
      <w:r>
        <w:rPr>
          <w:rFonts w:cstheme="minorHAnsi"/>
        </w:rPr>
        <w:t xml:space="preserve"> an Associate Professor can apply to become a Full Professor with tenure. Eligibility for promotion is based upon research, teaching, and service.</w:t>
      </w:r>
    </w:p>
    <w:p w14:paraId="1B60BB64" w14:textId="4508444C" w:rsidR="007356B0" w:rsidRPr="007356B0" w:rsidRDefault="007356B0" w:rsidP="007356B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Full Professor with tenure - the highest academic</w:t>
      </w:r>
      <w:r w:rsidR="00A016F4">
        <w:rPr>
          <w:rFonts w:cstheme="minorHAnsi"/>
        </w:rPr>
        <w:t xml:space="preserve">, </w:t>
      </w:r>
      <w:r>
        <w:rPr>
          <w:rFonts w:cstheme="minorHAnsi"/>
        </w:rPr>
        <w:t>non</w:t>
      </w:r>
      <w:r w:rsidR="00A016F4">
        <w:rPr>
          <w:rFonts w:cstheme="minorHAnsi"/>
        </w:rPr>
        <w:t>-</w:t>
      </w:r>
      <w:r>
        <w:rPr>
          <w:rFonts w:cstheme="minorHAnsi"/>
        </w:rPr>
        <w:t xml:space="preserve">administrative role a </w:t>
      </w:r>
    </w:p>
    <w:p w14:paraId="24EAFBB9" w14:textId="7EFA3BFF" w:rsidR="007356B0" w:rsidRDefault="007356B0" w:rsidP="007356B0">
      <w:pPr>
        <w:pStyle w:val="ListParagraph"/>
        <w:ind w:left="776"/>
        <w:rPr>
          <w:rFonts w:cstheme="minorHAnsi"/>
        </w:rPr>
      </w:pPr>
      <w:r>
        <w:rPr>
          <w:rFonts w:cstheme="minorHAnsi"/>
        </w:rPr>
        <w:t>faculty member can hold.</w:t>
      </w:r>
    </w:p>
    <w:p w14:paraId="60DCAEFB" w14:textId="0D31AB14" w:rsidR="007356B0" w:rsidRDefault="007356B0" w:rsidP="007356B0">
      <w:pPr>
        <w:pStyle w:val="ListParagraph"/>
        <w:ind w:left="776"/>
        <w:rPr>
          <w:rFonts w:cstheme="minorHAnsi"/>
        </w:rPr>
      </w:pPr>
    </w:p>
    <w:p w14:paraId="457CD437" w14:textId="06824E6B" w:rsidR="007356B0" w:rsidRDefault="007356B0" w:rsidP="00F43E36">
      <w:pPr>
        <w:rPr>
          <w:rFonts w:eastAsia="Times New Roman" w:cstheme="minorHAnsi"/>
          <w:color w:val="202124"/>
          <w:shd w:val="clear" w:color="auto" w:fill="FFFFFF"/>
        </w:rPr>
      </w:pPr>
      <w:r w:rsidRPr="00F43E36">
        <w:rPr>
          <w:rFonts w:cstheme="minorHAnsi"/>
          <w:i/>
          <w:iCs/>
        </w:rPr>
        <w:t xml:space="preserve">A note on </w:t>
      </w:r>
      <w:r w:rsidR="00F43E36">
        <w:rPr>
          <w:rFonts w:cstheme="minorHAnsi"/>
          <w:i/>
          <w:iCs/>
        </w:rPr>
        <w:t>T</w:t>
      </w:r>
      <w:r w:rsidRPr="00F43E36">
        <w:rPr>
          <w:rFonts w:cstheme="minorHAnsi"/>
          <w:i/>
          <w:iCs/>
        </w:rPr>
        <w:t>enure</w:t>
      </w:r>
      <w:r w:rsidRPr="007356B0">
        <w:rPr>
          <w:rFonts w:cstheme="minorHAnsi"/>
        </w:rPr>
        <w:t xml:space="preserve">: </w:t>
      </w:r>
      <w:r w:rsidRPr="007356B0">
        <w:rPr>
          <w:rFonts w:eastAsia="Times New Roman" w:cstheme="minorHAnsi"/>
          <w:color w:val="202124"/>
          <w:shd w:val="clear" w:color="auto" w:fill="FFFFFF"/>
        </w:rPr>
        <w:t>Academic </w:t>
      </w:r>
      <w:r w:rsidRPr="007356B0">
        <w:rPr>
          <w:rFonts w:eastAsia="Times New Roman" w:cstheme="minorHAnsi"/>
          <w:b/>
          <w:bCs/>
          <w:color w:val="202124"/>
        </w:rPr>
        <w:t>tenure</w:t>
      </w:r>
      <w:r w:rsidRPr="007356B0">
        <w:rPr>
          <w:rFonts w:eastAsia="Times New Roman" w:cstheme="minorHAnsi"/>
          <w:color w:val="202124"/>
          <w:shd w:val="clear" w:color="auto" w:fill="FFFFFF"/>
        </w:rPr>
        <w:t> refers to an educator's employment status within a higher education institution. When a </w:t>
      </w:r>
      <w:r w:rsidRPr="007356B0">
        <w:rPr>
          <w:rFonts w:eastAsia="Times New Roman" w:cstheme="minorHAnsi"/>
          <w:b/>
          <w:bCs/>
          <w:color w:val="202124"/>
        </w:rPr>
        <w:t>professor</w:t>
      </w:r>
      <w:r w:rsidRPr="007356B0">
        <w:rPr>
          <w:rFonts w:eastAsia="Times New Roman" w:cstheme="minorHAnsi"/>
          <w:color w:val="202124"/>
          <w:shd w:val="clear" w:color="auto" w:fill="FFFFFF"/>
        </w:rPr>
        <w:t> has gained </w:t>
      </w:r>
      <w:r w:rsidRPr="007356B0">
        <w:rPr>
          <w:rFonts w:eastAsia="Times New Roman" w:cstheme="minorHAnsi"/>
          <w:b/>
          <w:bCs/>
          <w:color w:val="202124"/>
        </w:rPr>
        <w:t>tenure</w:t>
      </w:r>
      <w:r w:rsidRPr="007356B0">
        <w:rPr>
          <w:rFonts w:eastAsia="Times New Roman" w:cstheme="minorHAnsi"/>
          <w:color w:val="202124"/>
          <w:shd w:val="clear" w:color="auto" w:fill="FFFFFF"/>
        </w:rPr>
        <w:t>, he or she can only be terminated for a justifiable cause or under extreme circumstances, such as program discontinuation or severe financial restraints.</w:t>
      </w:r>
    </w:p>
    <w:p w14:paraId="6FF6D8B0" w14:textId="6BE3CEB2" w:rsidR="00F43E36" w:rsidRDefault="00F43E36" w:rsidP="00F43E36">
      <w:pPr>
        <w:rPr>
          <w:rFonts w:eastAsia="Times New Roman" w:cstheme="minorHAnsi"/>
          <w:color w:val="202124"/>
          <w:shd w:val="clear" w:color="auto" w:fill="FFFFFF"/>
        </w:rPr>
      </w:pPr>
    </w:p>
    <w:p w14:paraId="1D7D7F1F" w14:textId="77777777" w:rsidR="00F43E36" w:rsidRPr="00F43E36" w:rsidRDefault="00F43E36" w:rsidP="00F43E36">
      <w:pPr>
        <w:rPr>
          <w:rFonts w:eastAsia="Times New Roman" w:cstheme="minorHAnsi"/>
        </w:rPr>
      </w:pPr>
    </w:p>
    <w:sectPr w:rsidR="00F43E36" w:rsidRPr="00F43E36" w:rsidSect="009937A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8D8AA" w14:textId="77777777" w:rsidR="00D352E6" w:rsidRDefault="00D352E6" w:rsidP="003F1310">
      <w:r>
        <w:separator/>
      </w:r>
    </w:p>
  </w:endnote>
  <w:endnote w:type="continuationSeparator" w:id="0">
    <w:p w14:paraId="4E48A2A2" w14:textId="77777777" w:rsidR="00D352E6" w:rsidRDefault="00D352E6" w:rsidP="003F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480274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D6D014" w14:textId="6CA4409C" w:rsidR="003F1310" w:rsidRDefault="003F1310" w:rsidP="00E457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279D9F" w14:textId="77777777" w:rsidR="003F1310" w:rsidRDefault="003F1310" w:rsidP="003F13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300538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48DCD6" w14:textId="3FD491CC" w:rsidR="003F1310" w:rsidRDefault="003F1310" w:rsidP="00E457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F29B9F" w14:textId="77777777" w:rsidR="003F1310" w:rsidRDefault="003F1310" w:rsidP="003F13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1BEB8" w14:textId="77777777" w:rsidR="00D352E6" w:rsidRDefault="00D352E6" w:rsidP="003F1310">
      <w:r>
        <w:separator/>
      </w:r>
    </w:p>
  </w:footnote>
  <w:footnote w:type="continuationSeparator" w:id="0">
    <w:p w14:paraId="39F66EFC" w14:textId="77777777" w:rsidR="00D352E6" w:rsidRDefault="00D352E6" w:rsidP="003F1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1407F"/>
    <w:multiLevelType w:val="hybridMultilevel"/>
    <w:tmpl w:val="301AC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84AD4"/>
    <w:multiLevelType w:val="hybridMultilevel"/>
    <w:tmpl w:val="D69CA7E0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62B61D5F"/>
    <w:multiLevelType w:val="hybridMultilevel"/>
    <w:tmpl w:val="EB721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67"/>
    <w:rsid w:val="000055D9"/>
    <w:rsid w:val="0005213D"/>
    <w:rsid w:val="001667A2"/>
    <w:rsid w:val="00184267"/>
    <w:rsid w:val="001B029E"/>
    <w:rsid w:val="002849D0"/>
    <w:rsid w:val="003A60C2"/>
    <w:rsid w:val="003B1B36"/>
    <w:rsid w:val="003F1310"/>
    <w:rsid w:val="003F3833"/>
    <w:rsid w:val="005268C5"/>
    <w:rsid w:val="005D3C38"/>
    <w:rsid w:val="007356B0"/>
    <w:rsid w:val="008161E4"/>
    <w:rsid w:val="00820206"/>
    <w:rsid w:val="00824C9F"/>
    <w:rsid w:val="00927FE7"/>
    <w:rsid w:val="009937AF"/>
    <w:rsid w:val="00A016F4"/>
    <w:rsid w:val="00B533CC"/>
    <w:rsid w:val="00B650F2"/>
    <w:rsid w:val="00BA6614"/>
    <w:rsid w:val="00C41A59"/>
    <w:rsid w:val="00C51316"/>
    <w:rsid w:val="00C53545"/>
    <w:rsid w:val="00CD0E09"/>
    <w:rsid w:val="00D20FBB"/>
    <w:rsid w:val="00D352E6"/>
    <w:rsid w:val="00DB6B30"/>
    <w:rsid w:val="00F43E36"/>
    <w:rsid w:val="00F62F04"/>
    <w:rsid w:val="00F75EBC"/>
    <w:rsid w:val="00F8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5DB164"/>
  <w15:chartTrackingRefBased/>
  <w15:docId w15:val="{A904959C-9F30-0341-977B-19FD7262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B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1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10"/>
  </w:style>
  <w:style w:type="character" w:styleId="PageNumber">
    <w:name w:val="page number"/>
    <w:basedOn w:val="DefaultParagraphFont"/>
    <w:uiPriority w:val="99"/>
    <w:semiHidden/>
    <w:unhideWhenUsed/>
    <w:rsid w:val="003F1310"/>
  </w:style>
  <w:style w:type="character" w:customStyle="1" w:styleId="apple-converted-space">
    <w:name w:val="apple-converted-space"/>
    <w:basedOn w:val="DefaultParagraphFont"/>
    <w:rsid w:val="007356B0"/>
  </w:style>
  <w:style w:type="paragraph" w:styleId="BalloonText">
    <w:name w:val="Balloon Text"/>
    <w:basedOn w:val="Normal"/>
    <w:link w:val="BalloonTextChar"/>
    <w:uiPriority w:val="99"/>
    <w:semiHidden/>
    <w:unhideWhenUsed/>
    <w:rsid w:val="00A016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F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1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6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6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1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2021-05-03T14:29:00Z</dcterms:created>
  <dcterms:modified xsi:type="dcterms:W3CDTF">2021-05-03T16:57:00Z</dcterms:modified>
</cp:coreProperties>
</file>